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alibri" w:cs="Calibri" w:eastAsia="Calibri" w:hAnsi="Calibri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CLC FUNDING POLICY 2021-2022 </w:t>
      </w:r>
    </w:p>
    <w:tbl>
      <w:tblPr>
        <w:tblStyle w:val="Table1"/>
        <w:tblW w:w="14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1"/>
        <w:gridCol w:w="5244"/>
        <w:gridCol w:w="6128"/>
        <w:tblGridChange w:id="0">
          <w:tblGrid>
            <w:gridCol w:w="2801"/>
            <w:gridCol w:w="5244"/>
            <w:gridCol w:w="61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Subsidy Rate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Travel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75% Travel (Competitive Fixtures)</w:t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 production of Invoice (Invoice addressed to Siobhan Byrne, Head of Clubs &amp; Societies, DCU, Dublin 9.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Difference to be reimbursed before full payment is completed.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Accommodation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€14 per person per night in Ireland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€17 per person per night outside Ireland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Funding is based on the travel distance and fixture start times and is at the discretion of the CLC.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Coaching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Payroll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Volunteer Expenses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Self-employed 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One coach per team or based on the number of allocated training hours.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 Coaching Management Policy for full details.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Student Coaches - Developmental opportunities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highlight w:val="white"/>
                <w:rtl w:val="0"/>
              </w:rPr>
              <w:t xml:space="preserve">Student coaches are deemed to be volunteer coaches and are unpaid positions.  Upon request to the CLC, a development fund may be allocated to the volunteer coach to enhance the individual’s coaching qualification. 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student’s year of study, potential contribution to their DCU club and relevance of coaching qualifications will be taken into account.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highlight w:val="white"/>
                <w:rtl w:val="0"/>
              </w:rPr>
              <w:t xml:space="preserve">If a DCU Club can demonstrate a student coach’s significant experience, level of qualification and unattainability of a coach at the same standard, a case may be made to the CLC to fund a student coach.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Individual Lessons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€7 per person per lesson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NGB Affiliation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100% paid if compulsory affiliation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affiliations based on individual members, the CLC reserves the right to set the number of members affiliated.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Equipment Budget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Each club will be allocated a budget based on the last 2 years spend on equipment.  Please note from the 2018-2019 academic year playing kit per team will not be funded more frequently than every 3-5 years. CLC will monitor club’s equipment inventory on a regular basis.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Three quotes must be submitted with the Budget Application.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Inventory of Equipment must be uploaded to the Online Management System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NGB Insurance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100% funded if compulsory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Intervarsity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Entry Fee, Travel and accommodation funded if applicable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events and banquets are not supported or funded.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Hosting an Intervarsity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Based on application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Submit a proposal to yvonne.mcgowan@dcu.ie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Individual Funding Requests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Based on application.  Must be representative ie. Non-Invitational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Individuals must complete an individual funding request form.</w:t>
            </w:r>
          </w:p>
        </w:tc>
      </w:tr>
    </w:tbl>
    <w:p w:rsidR="00000000" w:rsidDel="00000000" w:rsidP="00000000" w:rsidRDefault="00000000" w:rsidRPr="00000000" w14:paraId="0000003A">
      <w:pPr>
        <w:spacing w:after="0" w:lineRule="auto"/>
        <w:rPr>
          <w:rFonts w:ascii="Calibri" w:cs="Calibri" w:eastAsia="Calibri" w:hAnsi="Calibri"/>
          <w:i w:val="1"/>
          <w:color w:val="808080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color w:val="808080"/>
          <w:u w:val="single"/>
          <w:rtl w:val="0"/>
        </w:rPr>
        <w:t xml:space="preserve">All of the above are subject to DCU COVID protocols and procedures.</w:t>
      </w:r>
    </w:p>
    <w:p w:rsidR="00000000" w:rsidDel="00000000" w:rsidP="00000000" w:rsidRDefault="00000000" w:rsidRPr="00000000" w14:paraId="0000003B">
      <w:pPr>
        <w:spacing w:after="0" w:lineRule="auto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3E603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pnsAnxVC104sewkMIdGmAcsDA==">AMUW2mUTr19lWlNxu/iS6f25nRJJ7ENXkmm+ErXxnBBA5m9H3beXxvN02PLpW+OCGQuYH+69Xq5aQlSRCoZvpOVE0ag0NqZFYD7Oo+zDEsNS+CJQ/ycOIqABLnthPJmRUSUXQneVRLes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2020-10-06T10:31:00Z</dcterms:created>
  <dc:creator>Siobhan Byrne</dc:creator>
</cp:coreProperties>
</file>